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25FE" w:rsidRDefault="00A125FE">
      <w:r>
        <w:t>OBLIGACIÓN 2.</w:t>
      </w:r>
    </w:p>
    <w:p w:rsidR="00A125FE" w:rsidRDefault="00A125FE">
      <w:r>
        <w:rPr>
          <w:noProof/>
        </w:rPr>
        <w:drawing>
          <wp:inline distT="0" distB="0" distL="0" distR="0" wp14:anchorId="4B2AFA89">
            <wp:extent cx="4895074" cy="2571750"/>
            <wp:effectExtent l="0" t="0" r="127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2218" cy="25860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125FE" w:rsidRDefault="00A125FE"/>
    <w:p w:rsidR="00A125FE" w:rsidRDefault="00A125FE" w:rsidP="00A125FE">
      <w:r>
        <w:t xml:space="preserve">Se participó en la Sesión de Coordinación No. 139- Créditos CM - (Informe 6 - Cronograma general </w:t>
      </w:r>
      <w:proofErr w:type="spellStart"/>
      <w:r>
        <w:t>comp.</w:t>
      </w:r>
      <w:proofErr w:type="spellEnd"/>
      <w:r>
        <w:t xml:space="preserve"> 1 al 5 corte octubre) en donde </w:t>
      </w:r>
      <w:proofErr w:type="gramStart"/>
      <w:r>
        <w:t>el  reporte</w:t>
      </w:r>
      <w:proofErr w:type="gramEnd"/>
      <w:r>
        <w:t xml:space="preserve"> de avance del cronograma general de la SNR a octubre de 2025 revela una gestión orientada exitosamente hacia la modernización tecnológica y la interoperabilidad, aunque con desafíos puntuales en la capacidad operativa de formalización. El Componente 2 (Fortalecimiento tecnológico) se perfila como el más sólido, alcanzando un avance cercano al 67% y logrando un hito crítico al superar la meta del indicador BM 2.4 (102% de cumplimiento) gracias a la migración exitosa de oficinas registrales clave como Cali, Bogotá (Norte y Sur) y Medellín Norte al sistema SIR, sumado al traslado de la infraestructura de datos no estructurados al </w:t>
      </w:r>
      <w:proofErr w:type="spellStart"/>
      <w:r>
        <w:t>Datacenter</w:t>
      </w:r>
      <w:proofErr w:type="spellEnd"/>
      <w:r>
        <w:t xml:space="preserve"> de Tocancipá. En contraste, el Componente 3 (Implementación territorial) muestra un progreso mixto; si bien avanza la intervención de libros del antiguo sistema en Cali y se ha atendido a más de 27.000 personas en ventanillas, existen retrasos en la conformación completa de los equipos de consultoría para la formalización (indicadores BID 3.8 y BM 3.3), lo que ha limitado la titulación a 152 predios con enfoque de género frente a metas más ambiciosas, mientras que el Componente 4 asegura la estabilidad administrativa con la ejecución contractual al día de la unidad de gestión.</w:t>
      </w:r>
    </w:p>
    <w:p w:rsidR="00A125FE" w:rsidRDefault="00A125FE" w:rsidP="00A125FE"/>
    <w:p w:rsidR="00A125FE" w:rsidRDefault="00A125FE" w:rsidP="00A125FE">
      <w:r>
        <w:t xml:space="preserve"> </w:t>
      </w:r>
    </w:p>
    <w:p w:rsidR="00A125FE" w:rsidRDefault="00A125FE">
      <w:bookmarkStart w:id="0" w:name="_GoBack"/>
      <w:bookmarkEnd w:id="0"/>
    </w:p>
    <w:sectPr w:rsidR="00A125F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25FE"/>
    <w:rsid w:val="00A1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F3F46"/>
  <w15:chartTrackingRefBased/>
  <w15:docId w15:val="{4D167ABF-67C6-4E96-A471-D37ED8714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2025-11-25T16:07:00Z</dcterms:created>
  <dcterms:modified xsi:type="dcterms:W3CDTF">2025-11-25T16:12:00Z</dcterms:modified>
</cp:coreProperties>
</file>